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A3" w:rsidRPr="00A00AFF" w:rsidRDefault="004034A3" w:rsidP="00A00A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0AFF">
        <w:rPr>
          <w:rFonts w:ascii="Times New Roman" w:hAnsi="Times New Roman" w:cs="Times New Roman"/>
          <w:b/>
          <w:i/>
          <w:sz w:val="28"/>
          <w:szCs w:val="28"/>
        </w:rPr>
        <w:t>Памятка</w:t>
      </w:r>
    </w:p>
    <w:p w:rsidR="00A00AFF" w:rsidRPr="00A00AFF" w:rsidRDefault="004034A3" w:rsidP="006B7F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0AFF">
        <w:rPr>
          <w:rFonts w:ascii="Times New Roman" w:hAnsi="Times New Roman" w:cs="Times New Roman"/>
          <w:b/>
          <w:i/>
          <w:sz w:val="28"/>
          <w:szCs w:val="28"/>
        </w:rPr>
        <w:t>«Алгоритм действий при обнаружении «стеновой рекламы» пронаркотического содержания на зданиях, сооружениях, жилых домах»</w:t>
      </w:r>
    </w:p>
    <w:p w:rsidR="004034A3" w:rsidRPr="00A00AFF" w:rsidRDefault="004034A3" w:rsidP="00A0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FF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Российской Федерации сохраняется неблагополучная ситуация, связанная с распространением курительных смесей, содержащих в своем составе ряд опасных для здоровья человека веществ. </w:t>
      </w:r>
    </w:p>
    <w:p w:rsidR="004034A3" w:rsidRPr="00A00AFF" w:rsidRDefault="004034A3" w:rsidP="00A0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FF">
        <w:rPr>
          <w:rFonts w:ascii="Times New Roman" w:hAnsi="Times New Roman" w:cs="Times New Roman"/>
          <w:sz w:val="28"/>
          <w:szCs w:val="28"/>
        </w:rPr>
        <w:t>Обращаем внимание работников организаций, обслуживающих жилищный фонд и граждан на следующие характерные признаки информации, размещаемой сбытчиками наркотических средств и психотропных веществ на объектах недвижимости (дома, магазины, остановочные комплексы, школы и др.).</w:t>
      </w:r>
    </w:p>
    <w:p w:rsidR="004034A3" w:rsidRPr="00A00AFF" w:rsidRDefault="004034A3" w:rsidP="00A0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FF">
        <w:rPr>
          <w:rFonts w:ascii="Times New Roman" w:hAnsi="Times New Roman" w:cs="Times New Roman"/>
          <w:sz w:val="28"/>
          <w:szCs w:val="28"/>
        </w:rPr>
        <w:t xml:space="preserve">Как правило, эти объекты находятся либо в местах скопления молодёжи, либо вдоль пешеходных тротуаров. Надписи могут содержать открытое предложение наркотических средств и психотропных веществ, а также предлагают работу по их распространению: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спайс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курительные смеси, соли, марихуана,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эфедрон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мефедрон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, закладки, курьеры по доставке смесей</w:t>
      </w:r>
      <w:r w:rsidRPr="00A00AFF">
        <w:rPr>
          <w:rFonts w:ascii="Times New Roman" w:hAnsi="Times New Roman" w:cs="Times New Roman"/>
          <w:sz w:val="28"/>
          <w:szCs w:val="28"/>
        </w:rPr>
        <w:t xml:space="preserve"> и номера телефонов для связи либо данные учетных записей в различных программах обмена сообщениями.</w:t>
      </w:r>
    </w:p>
    <w:p w:rsidR="004034A3" w:rsidRPr="00A00AFF" w:rsidRDefault="004034A3" w:rsidP="00A0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FF">
        <w:rPr>
          <w:rFonts w:ascii="Times New Roman" w:hAnsi="Times New Roman" w:cs="Times New Roman"/>
          <w:sz w:val="28"/>
          <w:szCs w:val="28"/>
        </w:rPr>
        <w:t xml:space="preserve">Возможно размещение надписей, содержащих сленговые названия наркотиков: </w:t>
      </w:r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порох, россыпь, твердый, соли для ванн, СК,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спиды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, фен, трава, быстрый, смес</w:t>
      </w:r>
      <w:proofErr w:type="gram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ь(</w:t>
      </w:r>
      <w:proofErr w:type="gram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и),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легал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ка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),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расто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план,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хэш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миксы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курительные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миксы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мука, кристаллы, MDPV, PVP,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кристаллиус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эйфор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PSY SHOP,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психоделики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марки,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курёха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реагент, НЗТ,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каннаб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JWH, </w:t>
      </w:r>
      <w:proofErr w:type="spellStart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Живик</w:t>
      </w:r>
      <w:proofErr w:type="spellEnd"/>
      <w:r w:rsidRPr="006B7F7A">
        <w:rPr>
          <w:rFonts w:ascii="Times New Roman" w:hAnsi="Times New Roman" w:cs="Times New Roman"/>
          <w:i/>
          <w:color w:val="FF0000"/>
          <w:sz w:val="28"/>
          <w:szCs w:val="28"/>
        </w:rPr>
        <w:t>, Мышь, кокс, снег, белый, пудра</w:t>
      </w:r>
      <w:r w:rsidRPr="00A00AF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034A3" w:rsidRPr="00A00AFF" w:rsidRDefault="004034A3" w:rsidP="00A00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AFF">
        <w:rPr>
          <w:rFonts w:ascii="Times New Roman" w:hAnsi="Times New Roman" w:cs="Times New Roman"/>
          <w:sz w:val="28"/>
          <w:szCs w:val="28"/>
        </w:rPr>
        <w:t xml:space="preserve">При обнаружении надписи, которая содержит информацию о распространении </w:t>
      </w:r>
      <w:proofErr w:type="spellStart"/>
      <w:r w:rsidRPr="00A00AFF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A00AFF">
        <w:rPr>
          <w:rFonts w:ascii="Times New Roman" w:hAnsi="Times New Roman" w:cs="Times New Roman"/>
          <w:sz w:val="28"/>
          <w:szCs w:val="28"/>
        </w:rPr>
        <w:t xml:space="preserve"> вещества с указанием номера телефона </w:t>
      </w:r>
      <w:r w:rsidRPr="00A00AFF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4034A3" w:rsidRPr="00A00AFF" w:rsidRDefault="00A00AFF" w:rsidP="00A00AF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A00AFF">
        <w:rPr>
          <w:rFonts w:ascii="Times New Roman" w:hAnsi="Times New Roman"/>
          <w:sz w:val="28"/>
          <w:szCs w:val="28"/>
        </w:rPr>
        <w:t>Л</w:t>
      </w:r>
      <w:r w:rsidRPr="00A00AFF">
        <w:rPr>
          <w:rFonts w:ascii="Times New Roman" w:hAnsi="Times New Roman"/>
          <w:sz w:val="28"/>
          <w:szCs w:val="28"/>
          <w:lang w:eastAsia="ru-RU"/>
        </w:rPr>
        <w:t xml:space="preserve">ицам, выявившим данные надписи необходимо зафиксировать их (фото, видео съемка) и проинформировать </w:t>
      </w:r>
      <w:r w:rsidR="004034A3" w:rsidRPr="00A00AFF">
        <w:rPr>
          <w:rFonts w:ascii="Times New Roman" w:hAnsi="Times New Roman"/>
          <w:sz w:val="28"/>
          <w:szCs w:val="28"/>
        </w:rPr>
        <w:t>МО МВД России «Севский», позвонив в дежурную часть: 9-11-02</w:t>
      </w:r>
      <w:r w:rsidRPr="00A00AFF">
        <w:rPr>
          <w:rFonts w:ascii="Times New Roman" w:hAnsi="Times New Roman"/>
          <w:sz w:val="28"/>
          <w:szCs w:val="28"/>
        </w:rPr>
        <w:t xml:space="preserve"> или а</w:t>
      </w:r>
      <w:r w:rsidR="004034A3" w:rsidRPr="00A00AFF">
        <w:rPr>
          <w:rFonts w:ascii="Times New Roman" w:hAnsi="Times New Roman"/>
          <w:sz w:val="28"/>
          <w:szCs w:val="28"/>
        </w:rPr>
        <w:t xml:space="preserve">нтинаркотическую комиссию администрации Севского муниципального района по телефону: </w:t>
      </w:r>
      <w:r w:rsidRPr="00A00AFF">
        <w:rPr>
          <w:rFonts w:ascii="Times New Roman" w:hAnsi="Times New Roman"/>
          <w:sz w:val="28"/>
          <w:szCs w:val="28"/>
        </w:rPr>
        <w:t xml:space="preserve">9-70-65 </w:t>
      </w:r>
      <w:r w:rsidRPr="00A00AFF">
        <w:rPr>
          <w:rFonts w:ascii="Times New Roman" w:hAnsi="Times New Roman"/>
          <w:sz w:val="28"/>
          <w:szCs w:val="28"/>
          <w:lang w:eastAsia="ru-RU"/>
        </w:rPr>
        <w:t>с передачей фото-видеоматериалов</w:t>
      </w:r>
      <w:r w:rsidRPr="00A00AFF">
        <w:rPr>
          <w:rFonts w:ascii="Times New Roman" w:hAnsi="Times New Roman"/>
          <w:sz w:val="28"/>
          <w:szCs w:val="28"/>
        </w:rPr>
        <w:t>.</w:t>
      </w:r>
    </w:p>
    <w:p w:rsidR="004034A3" w:rsidRPr="00A00AFF" w:rsidRDefault="004034A3" w:rsidP="00A00AF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AFF">
        <w:rPr>
          <w:rFonts w:ascii="Times New Roman" w:hAnsi="Times New Roman"/>
          <w:sz w:val="28"/>
          <w:szCs w:val="28"/>
        </w:rPr>
        <w:t>Принять ме</w:t>
      </w:r>
      <w:r w:rsidR="00A00AFF" w:rsidRPr="00A00AFF">
        <w:rPr>
          <w:rFonts w:ascii="Times New Roman" w:hAnsi="Times New Roman"/>
          <w:sz w:val="28"/>
          <w:szCs w:val="28"/>
        </w:rPr>
        <w:t>ры по устранению данной надписи любыми доступными способами (покраска, зачистка и т.д.) в рамках законодательства Российской Федерации.</w:t>
      </w:r>
    </w:p>
    <w:p w:rsidR="004034A3" w:rsidRPr="00A00AFF" w:rsidRDefault="00A054CD" w:rsidP="00A00AFF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00AFF">
        <w:rPr>
          <w:b/>
          <w:color w:val="000000"/>
          <w:sz w:val="28"/>
          <w:szCs w:val="28"/>
        </w:rPr>
        <w:t>Помочь остановить распространение наркотических веществ теперь может каждый</w:t>
      </w:r>
      <w:r w:rsidR="004034A3" w:rsidRPr="00A00AFF">
        <w:rPr>
          <w:b/>
          <w:color w:val="000000"/>
          <w:sz w:val="28"/>
          <w:szCs w:val="28"/>
        </w:rPr>
        <w:t>, позвонив по указанным телефонам.</w:t>
      </w:r>
    </w:p>
    <w:p w:rsidR="00A054CD" w:rsidRPr="006B7F7A" w:rsidRDefault="00A054CD" w:rsidP="006B7F7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0AFF">
        <w:rPr>
          <w:color w:val="000000"/>
          <w:sz w:val="28"/>
          <w:szCs w:val="28"/>
        </w:rPr>
        <w:t>Помните, что Вы, возможно, спасете чью-то жизнь! Напоминаем, что реклама и пропаганда наркотических средств, психотропных веществ, а также новых потенциально-опасных психоактивных веществ в Российской Федерации запрещена. Ответственность за данные действия предусмотрена статьёй 6.13 Кодекса об административных правонарушениях Российской Федерации и влечёт наложение административного штрафа на граждан в размере от четырёх до пяти тысяч рублей.</w:t>
      </w:r>
    </w:p>
    <w:p w:rsidR="00A054CD" w:rsidRPr="006B7F7A" w:rsidRDefault="00A054CD" w:rsidP="00A054CD">
      <w:pPr>
        <w:spacing w:before="105" w:after="105" w:line="225" w:lineRule="atLeast"/>
        <w:ind w:left="150" w:right="150" w:firstLine="280"/>
        <w:jc w:val="center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6B7F7A">
        <w:rPr>
          <w:rFonts w:ascii="Times New Roman" w:hAnsi="Times New Roman"/>
          <w:b/>
          <w:i/>
          <w:color w:val="000000"/>
          <w:sz w:val="28"/>
          <w:szCs w:val="24"/>
        </w:rPr>
        <w:lastRenderedPageBreak/>
        <w:t>Реестр надписей «стеновой рекламы»</w:t>
      </w:r>
    </w:p>
    <w:p w:rsidR="00A054CD" w:rsidRPr="006B7F7A" w:rsidRDefault="00A054CD" w:rsidP="006B7F7A">
      <w:pPr>
        <w:spacing w:after="0" w:line="240" w:lineRule="auto"/>
        <w:ind w:right="147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B7F7A">
        <w:rPr>
          <w:rFonts w:ascii="Times New Roman" w:hAnsi="Times New Roman"/>
          <w:color w:val="000000"/>
          <w:sz w:val="28"/>
          <w:szCs w:val="24"/>
        </w:rPr>
        <w:t xml:space="preserve">Рекламу наркотиков, размещённую на стенах зданий, заборов, иных строений можно рассматривать как один из путей склонения к потреблению психоактивных веществ. Этот вид пропаганды обращён к широкому и неопределённому кругу лиц, зачастую содержит только номер мобильного телефона, ICQ либо ссылку на Интернет-сайт и единственное слово. </w:t>
      </w:r>
    </w:p>
    <w:p w:rsidR="00A054CD" w:rsidRDefault="00A054CD" w:rsidP="00A054CD">
      <w:pPr>
        <w:spacing w:after="0" w:line="240" w:lineRule="auto"/>
        <w:ind w:right="147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19"/>
        <w:gridCol w:w="6520"/>
      </w:tblGrid>
      <w:tr w:rsidR="00A054CD" w:rsidTr="006B7F7A">
        <w:tc>
          <w:tcPr>
            <w:tcW w:w="709" w:type="dxa"/>
            <w:vAlign w:val="center"/>
          </w:tcPr>
          <w:p w:rsidR="00A054CD" w:rsidRPr="00704B67" w:rsidRDefault="00A054CD" w:rsidP="003F3FDF">
            <w:pPr>
              <w:spacing w:after="0" w:line="240" w:lineRule="auto"/>
              <w:ind w:right="14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B67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:rsidR="00A054CD" w:rsidRPr="00704B67" w:rsidRDefault="00A054CD" w:rsidP="003F3FDF">
            <w:pPr>
              <w:spacing w:after="0" w:line="240" w:lineRule="auto"/>
              <w:ind w:right="14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04B6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04B6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04B6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A054CD" w:rsidRPr="00704B67" w:rsidRDefault="00A054CD" w:rsidP="003F3FDF">
            <w:pPr>
              <w:spacing w:after="0" w:line="240" w:lineRule="auto"/>
              <w:ind w:right="14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B67">
              <w:rPr>
                <w:rFonts w:ascii="Times New Roman" w:hAnsi="Times New Roman"/>
                <w:b/>
                <w:sz w:val="20"/>
                <w:szCs w:val="20"/>
              </w:rPr>
              <w:t>Виды надписей «стеновой рекламы» наркотиков, рекламирующих продажу наркотических средств и психотропных веществ</w:t>
            </w:r>
          </w:p>
        </w:tc>
        <w:tc>
          <w:tcPr>
            <w:tcW w:w="6520" w:type="dxa"/>
            <w:vAlign w:val="center"/>
          </w:tcPr>
          <w:p w:rsidR="00A054CD" w:rsidRPr="00704B67" w:rsidRDefault="00A054CD" w:rsidP="003F3FDF">
            <w:pPr>
              <w:spacing w:after="0" w:line="240" w:lineRule="auto"/>
              <w:ind w:right="14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B67">
              <w:rPr>
                <w:rFonts w:ascii="Times New Roman" w:hAnsi="Times New Roman"/>
                <w:b/>
                <w:sz w:val="20"/>
                <w:szCs w:val="20"/>
              </w:rPr>
              <w:t>Группировки</w:t>
            </w:r>
          </w:p>
        </w:tc>
      </w:tr>
      <w:tr w:rsidR="00A054CD" w:rsidTr="006B7F7A">
        <w:tc>
          <w:tcPr>
            <w:tcW w:w="70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Алхим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», «Соль», 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Айс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20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прекурсоров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, подлежащих контролю в РФ, в форме порошка</w:t>
            </w:r>
          </w:p>
        </w:tc>
      </w:tr>
      <w:tr w:rsidR="00A054CD" w:rsidTr="006B7F7A">
        <w:tc>
          <w:tcPr>
            <w:tcW w:w="70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Афган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», «Афганка», 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Авган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 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Джараш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», «AF», 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Staf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Ляпка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20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 xml:space="preserve">наименования, указываемые в 2009-2010 году на этикетках, веществ синтетического происхождения, включенных или не включенных в Перечень наркотических средств, психотропных веществ и их 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прекурсоров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, подлежащих контролю в РФ, смешанных с органическими веществами</w:t>
            </w:r>
          </w:p>
        </w:tc>
      </w:tr>
      <w:tr w:rsidR="00A054CD" w:rsidTr="006B7F7A">
        <w:tc>
          <w:tcPr>
            <w:tcW w:w="70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«Белый»</w:t>
            </w:r>
          </w:p>
        </w:tc>
        <w:tc>
          <w:tcPr>
            <w:tcW w:w="6520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 xml:space="preserve">наркотическое вещество ЭФЕДРОН, который изготовляется кустарным способом из аптечных лекарств типа эфедрин, 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солутан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</w:tr>
      <w:tr w:rsidR="00A054CD" w:rsidTr="006B7F7A">
        <w:tc>
          <w:tcPr>
            <w:tcW w:w="70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Бошки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20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марихуана, приготовленная смесь верхушек с листьями и остатками стебля, цветами или плодами, любых сортов конопли, а также измельченные, просеянные верхушечные части конопли, без центрального стебля, вещество естественного происхождения</w:t>
            </w:r>
          </w:p>
        </w:tc>
      </w:tr>
      <w:tr w:rsidR="00A054CD" w:rsidTr="006B7F7A">
        <w:tc>
          <w:tcPr>
            <w:tcW w:w="70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Легал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», «Лег-с», 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Легал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», «Лига», «ОПЕРА»</w:t>
            </w:r>
          </w:p>
        </w:tc>
        <w:tc>
          <w:tcPr>
            <w:tcW w:w="6520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 xml:space="preserve">вещество синтетического происхождения, не включенное в Перечень наркотических средств, психотропных веществ и их 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прекурсоров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, подлежащих контролю в РФ</w:t>
            </w:r>
          </w:p>
        </w:tc>
      </w:tr>
      <w:tr w:rsidR="00A054CD" w:rsidTr="006B7F7A">
        <w:tc>
          <w:tcPr>
            <w:tcW w:w="70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Миксы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», «Смеси»</w:t>
            </w:r>
          </w:p>
        </w:tc>
        <w:tc>
          <w:tcPr>
            <w:tcW w:w="6520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 xml:space="preserve">вещества синтетического происхождения, включенные или не включенные в Перечень наркотических средств, психотропных веществ и их 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прекурсоров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, подлежащих контролю в РФ, смешанные или не смешанные с неорганическими или органическими веществами (используемыми просто в качестве наполнителей)</w:t>
            </w:r>
          </w:p>
        </w:tc>
      </w:tr>
      <w:tr w:rsidR="00A054CD" w:rsidTr="006B7F7A">
        <w:tc>
          <w:tcPr>
            <w:tcW w:w="70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«Пробники»</w:t>
            </w:r>
          </w:p>
        </w:tc>
        <w:tc>
          <w:tcPr>
            <w:tcW w:w="6520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4B67">
              <w:rPr>
                <w:rFonts w:ascii="Times New Roman" w:hAnsi="Times New Roman"/>
                <w:sz w:val="20"/>
                <w:szCs w:val="20"/>
              </w:rPr>
              <w:t xml:space="preserve">любое вещество синтетического или естественного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прекурсоров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, подлежащих контролю в РФ, небольшой массой, предлагаемое в целях установления постоянной группы приобретателей, либо в целях введения в заблуждение и совершение в дальнейшем завладением денег без фактической поставки вещества (наиболее распространенная схема обмана)</w:t>
            </w:r>
            <w:proofErr w:type="gramEnd"/>
          </w:p>
        </w:tc>
      </w:tr>
      <w:tr w:rsidR="00A054CD" w:rsidTr="006B7F7A">
        <w:tc>
          <w:tcPr>
            <w:tcW w:w="70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«План», 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Палыч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20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гашиш - специально приготовленная смесь отделенной смолы, пыльцы растения конопля или смесь, приготовленная путем обработки верхушек растения конопля с разными наполнителями, спрессованные в какую-либо форму</w:t>
            </w:r>
          </w:p>
        </w:tc>
      </w:tr>
      <w:tr w:rsidR="00A054CD" w:rsidTr="006B7F7A">
        <w:tc>
          <w:tcPr>
            <w:tcW w:w="70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«Порох»</w:t>
            </w:r>
          </w:p>
        </w:tc>
        <w:tc>
          <w:tcPr>
            <w:tcW w:w="6520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порошок эфедрина, медицинский препарат</w:t>
            </w:r>
          </w:p>
        </w:tc>
      </w:tr>
      <w:tr w:rsidR="00A054CD" w:rsidTr="006B7F7A">
        <w:tc>
          <w:tcPr>
            <w:tcW w:w="70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Спайс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Дживиаш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», «JWH», 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Дживик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», «Смок»</w:t>
            </w:r>
          </w:p>
        </w:tc>
        <w:tc>
          <w:tcPr>
            <w:tcW w:w="6520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прекурсоров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, подлежащих контролю в РФ, являющееся любым производным либо аналогом наркотических сре</w:t>
            </w:r>
            <w:proofErr w:type="gramStart"/>
            <w:r w:rsidRPr="00704B67">
              <w:rPr>
                <w:rFonts w:ascii="Times New Roman" w:hAnsi="Times New Roman"/>
                <w:sz w:val="20"/>
                <w:szCs w:val="20"/>
              </w:rPr>
              <w:t>дств гр</w:t>
            </w:r>
            <w:proofErr w:type="gramEnd"/>
            <w:r w:rsidRPr="00704B67">
              <w:rPr>
                <w:rFonts w:ascii="Times New Roman" w:hAnsi="Times New Roman"/>
                <w:sz w:val="20"/>
                <w:szCs w:val="20"/>
              </w:rPr>
              <w:t>упп JWH</w:t>
            </w:r>
          </w:p>
        </w:tc>
      </w:tr>
      <w:tr w:rsidR="00A054CD" w:rsidTr="006B7F7A">
        <w:tc>
          <w:tcPr>
            <w:tcW w:w="70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«Снег», «Кокс», «Кекс», 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Крэк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Спид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», «Скорость», «Шустрый», «Фен», «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Роп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20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 xml:space="preserve">порошкообразный наркотик, чаще всего кокаин, либо 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амфетамин</w:t>
            </w:r>
            <w:proofErr w:type="spellEnd"/>
          </w:p>
        </w:tc>
      </w:tr>
      <w:tr w:rsidR="00A054CD" w:rsidTr="006B7F7A">
        <w:tc>
          <w:tcPr>
            <w:tcW w:w="70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>«Тапки», «Колеса», «Круглые»</w:t>
            </w:r>
          </w:p>
        </w:tc>
        <w:tc>
          <w:tcPr>
            <w:tcW w:w="6520" w:type="dxa"/>
          </w:tcPr>
          <w:p w:rsidR="00A054CD" w:rsidRPr="00704B67" w:rsidRDefault="00A054CD" w:rsidP="003F3FD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B67">
              <w:rPr>
                <w:rFonts w:ascii="Times New Roman" w:hAnsi="Times New Roman"/>
                <w:sz w:val="20"/>
                <w:szCs w:val="20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704B67">
              <w:rPr>
                <w:rFonts w:ascii="Times New Roman" w:hAnsi="Times New Roman"/>
                <w:sz w:val="20"/>
                <w:szCs w:val="20"/>
              </w:rPr>
              <w:t>прекурсоров</w:t>
            </w:r>
            <w:proofErr w:type="spellEnd"/>
            <w:r w:rsidRPr="00704B67">
              <w:rPr>
                <w:rFonts w:ascii="Times New Roman" w:hAnsi="Times New Roman"/>
                <w:sz w:val="20"/>
                <w:szCs w:val="20"/>
              </w:rPr>
              <w:t>, подлежащих контролю в РФ, в форме таблеток</w:t>
            </w:r>
          </w:p>
        </w:tc>
      </w:tr>
    </w:tbl>
    <w:p w:rsidR="00081EE5" w:rsidRDefault="00081EE5"/>
    <w:p w:rsidR="00A054CD" w:rsidRDefault="00A054CD"/>
    <w:sectPr w:rsidR="00A054CD" w:rsidSect="0008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7282C"/>
    <w:multiLevelType w:val="hybridMultilevel"/>
    <w:tmpl w:val="A058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57DE4"/>
    <w:multiLevelType w:val="hybridMultilevel"/>
    <w:tmpl w:val="33D8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4CD"/>
    <w:rsid w:val="00081EE5"/>
    <w:rsid w:val="004034A3"/>
    <w:rsid w:val="00432D19"/>
    <w:rsid w:val="006B7F7A"/>
    <w:rsid w:val="009800E9"/>
    <w:rsid w:val="00A00AFF"/>
    <w:rsid w:val="00A054CD"/>
    <w:rsid w:val="00A35D3B"/>
    <w:rsid w:val="00B4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E5"/>
  </w:style>
  <w:style w:type="paragraph" w:styleId="1">
    <w:name w:val="heading 1"/>
    <w:basedOn w:val="a"/>
    <w:link w:val="10"/>
    <w:uiPriority w:val="9"/>
    <w:qFormat/>
    <w:rsid w:val="00B46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0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A0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054CD"/>
    <w:rPr>
      <w:b/>
      <w:bCs/>
    </w:rPr>
  </w:style>
  <w:style w:type="paragraph" w:styleId="a4">
    <w:name w:val="List Paragraph"/>
    <w:basedOn w:val="a"/>
    <w:uiPriority w:val="99"/>
    <w:qFormat/>
    <w:rsid w:val="00A054C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B4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6B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nhideWhenUsed/>
    <w:rsid w:val="00B46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9495">
              <w:marLeft w:val="-420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150">
                  <w:marLeft w:val="420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8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8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DBF0FE"/>
                                            <w:left w:val="single" w:sz="6" w:space="6" w:color="DBF0FE"/>
                                            <w:bottom w:val="single" w:sz="6" w:space="18" w:color="DBF0FE"/>
                                            <w:right w:val="single" w:sz="6" w:space="6" w:color="DBF0FE"/>
                                          </w:divBdr>
                                          <w:divsChild>
                                            <w:div w:id="18306289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0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7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5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1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BF0FE"/>
                        <w:left w:val="single" w:sz="6" w:space="6" w:color="DBF0FE"/>
                        <w:bottom w:val="single" w:sz="6" w:space="4" w:color="DBF0FE"/>
                        <w:right w:val="single" w:sz="6" w:space="6" w:color="DBF0FE"/>
                      </w:divBdr>
                      <w:divsChild>
                        <w:div w:id="66725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0976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BF0FE"/>
                        <w:left w:val="single" w:sz="6" w:space="6" w:color="DBF0FE"/>
                        <w:bottom w:val="single" w:sz="6" w:space="4" w:color="DBF0FE"/>
                        <w:right w:val="single" w:sz="6" w:space="6" w:color="DBF0FE"/>
                      </w:divBdr>
                      <w:divsChild>
                        <w:div w:id="19110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5889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84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BF0FE"/>
                        <w:left w:val="single" w:sz="6" w:space="6" w:color="DBF0FE"/>
                        <w:bottom w:val="single" w:sz="6" w:space="4" w:color="DBF0FE"/>
                        <w:right w:val="single" w:sz="6" w:space="6" w:color="DBF0FE"/>
                      </w:divBdr>
                      <w:divsChild>
                        <w:div w:id="8767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646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BF0FE"/>
                        <w:left w:val="single" w:sz="6" w:space="6" w:color="DBF0FE"/>
                        <w:bottom w:val="single" w:sz="6" w:space="4" w:color="DBF0FE"/>
                        <w:right w:val="single" w:sz="6" w:space="6" w:color="DBF0FE"/>
                      </w:divBdr>
                      <w:divsChild>
                        <w:div w:id="10472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49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BF0FE"/>
                        <w:left w:val="single" w:sz="6" w:space="6" w:color="DBF0FE"/>
                        <w:bottom w:val="single" w:sz="6" w:space="4" w:color="DBF0FE"/>
                        <w:right w:val="single" w:sz="6" w:space="6" w:color="DBF0FE"/>
                      </w:divBdr>
                      <w:divsChild>
                        <w:div w:id="45252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5478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BF0FE"/>
                        <w:left w:val="single" w:sz="6" w:space="6" w:color="DBF0FE"/>
                        <w:bottom w:val="single" w:sz="6" w:space="4" w:color="DBF0FE"/>
                        <w:right w:val="single" w:sz="6" w:space="6" w:color="DBF0FE"/>
                      </w:divBdr>
                      <w:divsChild>
                        <w:div w:id="12951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0101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11173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2017-10-24T10:54:00Z</dcterms:created>
  <dcterms:modified xsi:type="dcterms:W3CDTF">2017-10-25T06:26:00Z</dcterms:modified>
</cp:coreProperties>
</file>